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94"/>
        <w:gridCol w:w="10065"/>
      </w:tblGrid>
      <w:tr w:rsidR="001E5D87" w:rsidTr="007612CB">
        <w:tc>
          <w:tcPr>
            <w:tcW w:w="294" w:type="dxa"/>
          </w:tcPr>
          <w:p w:rsidR="001E5D87" w:rsidRDefault="001E5D87" w:rsidP="001E5D87">
            <w:pPr>
              <w:pStyle w:val="a4"/>
            </w:pPr>
          </w:p>
        </w:tc>
        <w:tc>
          <w:tcPr>
            <w:tcW w:w="10065" w:type="dxa"/>
          </w:tcPr>
          <w:p w:rsidR="001E5D87" w:rsidRPr="001E5D87" w:rsidRDefault="001E5D87" w:rsidP="001E5D8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ИНСТИТУТ (филиал)</w:t>
            </w:r>
          </w:p>
          <w:p w:rsidR="001E5D87" w:rsidRPr="007612CB" w:rsidRDefault="001E5D87" w:rsidP="001E5D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CB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  <w:r w:rsidR="0076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2CB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1E5D87" w:rsidRPr="001E5D87" w:rsidRDefault="001E5D87" w:rsidP="001E5D8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экономический университет имени Г.В. Плеханова»</w:t>
            </w:r>
          </w:p>
          <w:p w:rsidR="00FF2D45" w:rsidRDefault="00FF2D45" w:rsidP="00D336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87" w:rsidRPr="00D3365F" w:rsidRDefault="00D3365F" w:rsidP="00D336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5F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дополнительного профессионального образования</w:t>
            </w:r>
          </w:p>
        </w:tc>
      </w:tr>
    </w:tbl>
    <w:p w:rsidR="00D52E48" w:rsidRDefault="00D52E48" w:rsidP="001E5D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365F" w:rsidRDefault="00D3365F" w:rsidP="001E5D8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«Резервная профессия»</w:t>
      </w:r>
    </w:p>
    <w:p w:rsidR="001E5D87" w:rsidRPr="00DA0F87" w:rsidRDefault="00D52E48" w:rsidP="001E5D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5D87" w:rsidRPr="00DA0F87">
        <w:rPr>
          <w:rFonts w:ascii="Times New Roman" w:hAnsi="Times New Roman"/>
          <w:sz w:val="28"/>
          <w:szCs w:val="28"/>
        </w:rPr>
        <w:t>риглашает на программу</w:t>
      </w:r>
      <w:r w:rsidR="007612CB">
        <w:rPr>
          <w:rFonts w:ascii="Times New Roman" w:hAnsi="Times New Roman"/>
          <w:sz w:val="28"/>
          <w:szCs w:val="28"/>
        </w:rPr>
        <w:t xml:space="preserve"> - практикум</w:t>
      </w:r>
      <w:r w:rsidR="001E5D87" w:rsidRPr="00DA0F87">
        <w:rPr>
          <w:rFonts w:ascii="Times New Roman" w:hAnsi="Times New Roman"/>
          <w:sz w:val="28"/>
          <w:szCs w:val="28"/>
        </w:rPr>
        <w:t xml:space="preserve"> профессиональной переподготовки</w:t>
      </w:r>
    </w:p>
    <w:p w:rsidR="001E5D87" w:rsidRDefault="00FF2D45" w:rsidP="00956C4E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5D87" w:rsidRPr="00C3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«Юридическое сопровождение </w:t>
      </w:r>
      <w:r w:rsidR="002C6D7D" w:rsidRPr="00C3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="001E5D87" w:rsidRPr="00C3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12CB" w:rsidRPr="007612CB" w:rsidRDefault="007612CB" w:rsidP="00956C4E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280 час. </w:t>
      </w:r>
      <w:r w:rsidRPr="007612CB">
        <w:rPr>
          <w:rFonts w:ascii="Times New Roman" w:eastAsia="Times New Roman" w:hAnsi="Times New Roman" w:cs="Times New Roman"/>
          <w:sz w:val="28"/>
          <w:szCs w:val="28"/>
          <w:lang w:eastAsia="ru-RU"/>
        </w:rPr>
        <w:t>(30% - теория, 70% - практики)</w:t>
      </w:r>
    </w:p>
    <w:p w:rsidR="00C83AE6" w:rsidRPr="00D3365F" w:rsidRDefault="00C83AE6" w:rsidP="00D3365F">
      <w:pPr>
        <w:pStyle w:val="a6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Курс предназначен</w:t>
      </w:r>
      <w:r w:rsidRPr="00D3365F">
        <w:rPr>
          <w:rFonts w:ascii="Times New Roman" w:hAnsi="Times New Roman" w:cs="Times New Roman"/>
          <w:sz w:val="24"/>
          <w:szCs w:val="24"/>
        </w:rPr>
        <w:t xml:space="preserve"> для специалистов, имеющих высшее образование или среднее пр</w:t>
      </w:r>
      <w:r w:rsidRPr="00D3365F">
        <w:rPr>
          <w:rFonts w:ascii="Times New Roman" w:hAnsi="Times New Roman" w:cs="Times New Roman"/>
          <w:sz w:val="24"/>
          <w:szCs w:val="24"/>
        </w:rPr>
        <w:t>о</w:t>
      </w:r>
      <w:r w:rsidRPr="00D3365F">
        <w:rPr>
          <w:rFonts w:ascii="Times New Roman" w:hAnsi="Times New Roman" w:cs="Times New Roman"/>
          <w:sz w:val="24"/>
          <w:szCs w:val="24"/>
        </w:rPr>
        <w:t>фессиональное образование, студентов выпускных курсов.</w:t>
      </w:r>
    </w:p>
    <w:p w:rsidR="00D3365F" w:rsidRPr="00DA5AA5" w:rsidRDefault="00D3365F" w:rsidP="00D3365F">
      <w:pPr>
        <w:pStyle w:val="a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4FD1" w:rsidRDefault="00956C4E" w:rsidP="00244FD1">
      <w:pPr>
        <w:spacing w:after="15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E5D87" w:rsidRPr="00D3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программы:</w:t>
      </w:r>
    </w:p>
    <w:p w:rsidR="001E5D87" w:rsidRPr="00D3365F" w:rsidRDefault="00286CDF" w:rsidP="00D336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кодекс, как  о</w:t>
      </w:r>
      <w:r w:rsidR="00237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1E5D87" w:rsidRPr="00D3365F" w:rsidRDefault="001E5D87" w:rsidP="00D336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Корпоративное право</w:t>
      </w:r>
      <w:r w:rsidR="00C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организаций</w:t>
      </w:r>
      <w:r w:rsidR="00286C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регистрации,</w:t>
      </w:r>
      <w:r w:rsidR="00C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C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 измен</w:t>
      </w:r>
      <w:r w:rsidR="00286C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6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ликвидация, банкротство, требовани</w:t>
      </w:r>
      <w:r w:rsidR="00C135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  документам в организации</w:t>
      </w:r>
      <w:r w:rsidR="00286C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6CDF" w:rsidRDefault="00286CDF" w:rsidP="00286CD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договорной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(принципы, порядок закл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договоров, изменения</w:t>
      </w:r>
      <w:r w:rsidR="00C34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договоров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4E5" w:rsidRDefault="00FA54E5" w:rsidP="00286CD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сделок с недвижимостью. Земельно-имущественные отнош</w:t>
      </w:r>
      <w:r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Start"/>
      <w:r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регул</w:t>
      </w:r>
      <w:r w:rsidR="00C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ирование, порядок, особенности</w:t>
      </w:r>
      <w:r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практика применения </w:t>
      </w:r>
    </w:p>
    <w:p w:rsidR="00244FD1" w:rsidRPr="00FA54E5" w:rsidRDefault="00C342CC" w:rsidP="00286CD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торги</w:t>
      </w:r>
      <w:r w:rsidR="00244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положения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участия</w:t>
      </w:r>
      <w:r w:rsidR="005D2A9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заку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пок. З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</w:t>
      </w:r>
      <w:r w:rsidR="005D2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</w:t>
      </w:r>
      <w:r w:rsidR="00483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государственного контракта</w:t>
      </w:r>
      <w:r w:rsidR="005D2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D87" w:rsidRDefault="003159D5" w:rsidP="00D336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 (</w:t>
      </w:r>
      <w:r w:rsidR="00286CDF"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положения, локальные акты,</w:t>
      </w:r>
      <w:r w:rsidR="008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</w:t>
      </w:r>
      <w:r w:rsidR="00C1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</w:t>
      </w:r>
      <w:r w:rsidR="00286CDF"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6CDF"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6CDF"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делопроизводство,</w:t>
      </w:r>
      <w:r w:rsidR="0048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4E5"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дисциплинарная и материальная ответственность).</w:t>
      </w:r>
      <w:proofErr w:type="gramEnd"/>
      <w:r w:rsidR="00FA54E5" w:rsidRPr="00FA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труда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4C7" w:rsidRPr="00FA54E5" w:rsidRDefault="007A64C7" w:rsidP="00D336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налогового права. Федеральные, региональные </w:t>
      </w:r>
      <w:r w:rsidR="002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налоги</w:t>
      </w:r>
      <w:r w:rsidR="0024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</w:t>
      </w:r>
    </w:p>
    <w:p w:rsidR="00956C4E" w:rsidRPr="00D3365F" w:rsidRDefault="00FA54E5" w:rsidP="00D336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потребител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ями. Особенности оказания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работ, продажа товаров физическим лицам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потребительского экстремизма. Претенз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онный порядок  </w:t>
      </w:r>
      <w:r w:rsidR="001E5D87" w:rsidRPr="00D3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споров с участием потребителей</w:t>
      </w:r>
      <w:r w:rsidR="0024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C4E" w:rsidRPr="00D3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4E5" w:rsidRDefault="00FA54E5" w:rsidP="00286CD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надзорные органы России</w:t>
      </w:r>
      <w:r w:rsidR="00C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перечень и полномочия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для проведения контрольных мероприятий. Правила поведения при проведении проверки. Порядок обжалования  результата проверки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проведения проверок прокур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турой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полицией, </w:t>
      </w:r>
      <w:proofErr w:type="spellStart"/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Трудовой инспекцией, налоговой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</w:t>
      </w:r>
      <w:r w:rsidR="008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МЧС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контроль, лицензирующие органы.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4FD1" w:rsidRDefault="00244FD1" w:rsidP="00286CD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привлечения должностных лиц к  административной и уголовной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</w:t>
      </w:r>
      <w:r w:rsidR="00816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Доказательства. Практика применения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CDF" w:rsidRPr="00D3365F" w:rsidRDefault="00244FD1" w:rsidP="00286CD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 система РФ.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 А</w:t>
      </w:r>
      <w:r w:rsidR="00286CDF" w:rsidRPr="00D3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рбитражн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86CDF" w:rsidRPr="00D3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рассмот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исков, заявлений и  жалоб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и правила подготовки документов в арб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итражный суд (иск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заявление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заявление об ос</w:t>
      </w:r>
      <w:r w:rsidR="0048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паривании</w:t>
      </w:r>
      <w:r w:rsidR="003159D5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сроки  обжалования</w:t>
      </w:r>
      <w:r w:rsidR="007A64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54E5" w:rsidRPr="00D3365F" w:rsidRDefault="00FA54E5" w:rsidP="00FA54E5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Арбитражная практика рассмотрения</w:t>
      </w:r>
      <w:r w:rsidR="002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48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D87" w:rsidRPr="00DA5AA5" w:rsidRDefault="001E5D87" w:rsidP="00956C4E">
      <w:pPr>
        <w:spacing w:after="0" w:line="270" w:lineRule="atLeast"/>
        <w:ind w:left="1050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D95631" w:rsidRPr="00D3365F" w:rsidRDefault="00D95631" w:rsidP="00975E04">
      <w:pPr>
        <w:pStyle w:val="a6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D3365F">
        <w:rPr>
          <w:rFonts w:ascii="Times New Roman" w:hAnsi="Times New Roman" w:cs="Times New Roman"/>
          <w:color w:val="0099CC"/>
          <w:sz w:val="24"/>
          <w:szCs w:val="24"/>
        </w:rPr>
        <w:t xml:space="preserve">: </w:t>
      </w:r>
      <w:r w:rsidRPr="00D3365F">
        <w:rPr>
          <w:rFonts w:ascii="Times New Roman" w:hAnsi="Times New Roman" w:cs="Times New Roman"/>
          <w:sz w:val="24"/>
          <w:szCs w:val="24"/>
        </w:rPr>
        <w:t>5,5 месяцев</w:t>
      </w:r>
    </w:p>
    <w:p w:rsidR="00D95631" w:rsidRPr="00D3365F" w:rsidRDefault="00D95631" w:rsidP="00975E04">
      <w:pPr>
        <w:pStyle w:val="a6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Объем обучения</w:t>
      </w:r>
      <w:r w:rsidRPr="00D3365F">
        <w:rPr>
          <w:rFonts w:ascii="Times New Roman" w:hAnsi="Times New Roman" w:cs="Times New Roman"/>
          <w:sz w:val="24"/>
          <w:szCs w:val="24"/>
        </w:rPr>
        <w:t>: 280 час.</w:t>
      </w:r>
    </w:p>
    <w:p w:rsidR="00D95631" w:rsidRPr="00D3365F" w:rsidRDefault="00D95631" w:rsidP="00975E04">
      <w:pPr>
        <w:pStyle w:val="a6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Начало обучения</w:t>
      </w:r>
      <w:r w:rsidRPr="00D3365F">
        <w:rPr>
          <w:rFonts w:ascii="Times New Roman" w:hAnsi="Times New Roman" w:cs="Times New Roman"/>
          <w:sz w:val="24"/>
          <w:szCs w:val="24"/>
        </w:rPr>
        <w:t>: 2 октября 2017 г.</w:t>
      </w:r>
    </w:p>
    <w:p w:rsidR="00D95631" w:rsidRPr="00D3365F" w:rsidRDefault="00D95631" w:rsidP="00975E04">
      <w:pPr>
        <w:pStyle w:val="a6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D3365F">
        <w:rPr>
          <w:rFonts w:ascii="Times New Roman" w:hAnsi="Times New Roman" w:cs="Times New Roman"/>
          <w:sz w:val="24"/>
          <w:szCs w:val="24"/>
        </w:rPr>
        <w:t>:</w:t>
      </w:r>
      <w:r w:rsidRPr="00D3365F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D3365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3365F">
        <w:rPr>
          <w:rFonts w:ascii="Times New Roman" w:hAnsi="Times New Roman" w:cs="Times New Roman"/>
          <w:sz w:val="24"/>
          <w:szCs w:val="24"/>
        </w:rPr>
        <w:t>вечерняя, (понедельник, среда, четверг)</w:t>
      </w:r>
    </w:p>
    <w:p w:rsidR="00D95631" w:rsidRDefault="00D95631" w:rsidP="00975E04">
      <w:pPr>
        <w:pStyle w:val="a6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Документ об образовании:</w:t>
      </w:r>
      <w:r w:rsidRPr="00D3365F">
        <w:rPr>
          <w:rFonts w:ascii="Times New Roman" w:hAnsi="Times New Roman" w:cs="Times New Roman"/>
          <w:sz w:val="24"/>
          <w:szCs w:val="24"/>
        </w:rPr>
        <w:t xml:space="preserve"> </w:t>
      </w:r>
      <w:r w:rsidRPr="00D3365F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D3365F">
        <w:rPr>
          <w:rFonts w:ascii="Times New Roman" w:hAnsi="Times New Roman" w:cs="Times New Roman"/>
          <w:sz w:val="24"/>
          <w:szCs w:val="24"/>
        </w:rPr>
        <w:t>диплом о професси</w:t>
      </w:r>
      <w:r w:rsidRPr="00D3365F">
        <w:rPr>
          <w:rFonts w:ascii="Times New Roman" w:hAnsi="Times New Roman" w:cs="Times New Roman"/>
          <w:sz w:val="24"/>
          <w:szCs w:val="24"/>
        </w:rPr>
        <w:t>о</w:t>
      </w:r>
      <w:r w:rsidRPr="00D3365F">
        <w:rPr>
          <w:rFonts w:ascii="Times New Roman" w:hAnsi="Times New Roman" w:cs="Times New Roman"/>
          <w:sz w:val="24"/>
          <w:szCs w:val="24"/>
        </w:rPr>
        <w:t>нальной переподготовке.</w:t>
      </w:r>
    </w:p>
    <w:p w:rsidR="00DA5AA5" w:rsidRDefault="00DA5AA5" w:rsidP="00DA5AA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Стоимость обучения:</w:t>
      </w:r>
      <w:r w:rsidRPr="00D3365F">
        <w:rPr>
          <w:rFonts w:ascii="Times New Roman" w:hAnsi="Times New Roman" w:cs="Times New Roman"/>
          <w:sz w:val="24"/>
          <w:szCs w:val="24"/>
        </w:rPr>
        <w:t xml:space="preserve">   23 000 рублей </w:t>
      </w:r>
    </w:p>
    <w:p w:rsidR="00DA5AA5" w:rsidRPr="00DA5AA5" w:rsidRDefault="00DA5AA5" w:rsidP="00D3365F">
      <w:pPr>
        <w:pStyle w:val="a6"/>
        <w:spacing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95631" w:rsidRPr="00D3365F" w:rsidRDefault="00DA5AA5" w:rsidP="00D3365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  <w:r w:rsidR="00D95631" w:rsidRPr="00D33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95631" w:rsidRPr="00D3365F" w:rsidRDefault="00D95631" w:rsidP="00D956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D95631" w:rsidRPr="00D3365F" w:rsidRDefault="00D95631" w:rsidP="00D956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sz w:val="24"/>
          <w:szCs w:val="24"/>
        </w:rPr>
        <w:t>г. Пермь, Бульвар Гагарина -57</w:t>
      </w:r>
    </w:p>
    <w:p w:rsidR="00D95631" w:rsidRPr="00D3365F" w:rsidRDefault="00D95631" w:rsidP="00D956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sz w:val="24"/>
          <w:szCs w:val="24"/>
        </w:rPr>
        <w:t>Контактный тел./факс (342) 282-01-10</w:t>
      </w:r>
    </w:p>
    <w:p w:rsidR="00FE2549" w:rsidRPr="00DA5AA5" w:rsidRDefault="00D95631" w:rsidP="00DA5AA5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365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3365F">
        <w:rPr>
          <w:rFonts w:ascii="Times New Roman" w:hAnsi="Times New Roman" w:cs="Times New Roman"/>
          <w:sz w:val="24"/>
          <w:szCs w:val="24"/>
          <w:lang w:val="en-US"/>
        </w:rPr>
        <w:t>-mail: odo@rsute.perm.ru,  www.rea.perm.ru</w:t>
      </w:r>
    </w:p>
    <w:sectPr w:rsidR="00FE2549" w:rsidRPr="00DA5AA5" w:rsidSect="00975E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90F"/>
    <w:multiLevelType w:val="hybridMultilevel"/>
    <w:tmpl w:val="3830E6A6"/>
    <w:lvl w:ilvl="0" w:tplc="50EE1D8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A62"/>
    <w:multiLevelType w:val="multilevel"/>
    <w:tmpl w:val="1A4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5D87"/>
    <w:rsid w:val="00175674"/>
    <w:rsid w:val="001E5D87"/>
    <w:rsid w:val="001F5C40"/>
    <w:rsid w:val="002376C0"/>
    <w:rsid w:val="00244FD1"/>
    <w:rsid w:val="00286CDF"/>
    <w:rsid w:val="002C6D7D"/>
    <w:rsid w:val="003159D5"/>
    <w:rsid w:val="00352328"/>
    <w:rsid w:val="00483F39"/>
    <w:rsid w:val="005D2A9C"/>
    <w:rsid w:val="007612CB"/>
    <w:rsid w:val="00784737"/>
    <w:rsid w:val="007A64C7"/>
    <w:rsid w:val="00811FD9"/>
    <w:rsid w:val="008161DB"/>
    <w:rsid w:val="00956C4E"/>
    <w:rsid w:val="00975E04"/>
    <w:rsid w:val="00980760"/>
    <w:rsid w:val="00A544F8"/>
    <w:rsid w:val="00AB6807"/>
    <w:rsid w:val="00AF158C"/>
    <w:rsid w:val="00B8179A"/>
    <w:rsid w:val="00C135A3"/>
    <w:rsid w:val="00C2321B"/>
    <w:rsid w:val="00C342CC"/>
    <w:rsid w:val="00C608EC"/>
    <w:rsid w:val="00C83AE6"/>
    <w:rsid w:val="00D3365F"/>
    <w:rsid w:val="00D52E48"/>
    <w:rsid w:val="00D95631"/>
    <w:rsid w:val="00DA5AA5"/>
    <w:rsid w:val="00F6145D"/>
    <w:rsid w:val="00F95170"/>
    <w:rsid w:val="00FA54E5"/>
    <w:rsid w:val="00FB3306"/>
    <w:rsid w:val="00FE2549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D87"/>
    <w:rPr>
      <w:b/>
      <w:bCs/>
    </w:rPr>
  </w:style>
  <w:style w:type="paragraph" w:styleId="a4">
    <w:name w:val="Plain Text"/>
    <w:basedOn w:val="a"/>
    <w:link w:val="a5"/>
    <w:rsid w:val="001E5D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E5D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E5D8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336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4692">
                  <w:marLeft w:val="750"/>
                  <w:marRight w:val="7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5</cp:revision>
  <dcterms:created xsi:type="dcterms:W3CDTF">2017-09-04T05:11:00Z</dcterms:created>
  <dcterms:modified xsi:type="dcterms:W3CDTF">2017-09-06T06:43:00Z</dcterms:modified>
</cp:coreProperties>
</file>